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67CF4" w14:textId="64867429" w:rsidR="0090382B" w:rsidRDefault="00F63101" w:rsidP="00F63101">
      <w:pPr>
        <w:jc w:val="center"/>
        <w:rPr>
          <w:b/>
          <w:bCs/>
          <w:sz w:val="28"/>
          <w:szCs w:val="28"/>
        </w:rPr>
      </w:pPr>
      <w:r w:rsidRPr="00F63101">
        <w:rPr>
          <w:b/>
          <w:bCs/>
          <w:sz w:val="28"/>
          <w:szCs w:val="28"/>
        </w:rPr>
        <w:t>MATRIZ DE RISCO DA CONTRATAÇÃO</w:t>
      </w:r>
    </w:p>
    <w:p w14:paraId="2C846D6A" w14:textId="77777777" w:rsidR="00F63101" w:rsidRDefault="00F63101" w:rsidP="00F63101">
      <w:pPr>
        <w:ind w:firstLine="708"/>
        <w:jc w:val="both"/>
        <w:rPr>
          <w:sz w:val="22"/>
          <w:szCs w:val="22"/>
        </w:rPr>
      </w:pPr>
      <w:r w:rsidRPr="00F63101">
        <w:rPr>
          <w:sz w:val="22"/>
          <w:szCs w:val="22"/>
        </w:rPr>
        <w:t>A matriz de riscos tem por objetivo identificar, avaliar e alocar os principais riscos associados à execução do contrato de recapeamento asfáltico, definindo a responsabilidade entre a Administração Pública (Contratante) e a empresa executora (Contratada), bem como as medidas de mitigação aplicáveis.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2"/>
        <w:gridCol w:w="1354"/>
        <w:gridCol w:w="829"/>
        <w:gridCol w:w="1413"/>
        <w:gridCol w:w="4402"/>
        <w:gridCol w:w="2952"/>
      </w:tblGrid>
      <w:tr w:rsidR="0082695A" w:rsidRPr="0082695A" w14:paraId="1337CB33" w14:textId="77777777" w:rsidTr="0082695A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A5866E" w14:textId="77777777" w:rsidR="0082695A" w:rsidRPr="0082695A" w:rsidRDefault="0082695A" w:rsidP="0082695A">
            <w:pPr>
              <w:jc w:val="center"/>
              <w:rPr>
                <w:b/>
                <w:bCs/>
                <w:sz w:val="22"/>
                <w:szCs w:val="22"/>
              </w:rPr>
            </w:pPr>
            <w:r w:rsidRPr="0082695A">
              <w:rPr>
                <w:b/>
                <w:bCs/>
                <w:sz w:val="22"/>
                <w:szCs w:val="22"/>
              </w:rPr>
              <w:t>Risco Identificado</w:t>
            </w:r>
          </w:p>
        </w:tc>
        <w:tc>
          <w:tcPr>
            <w:tcW w:w="0" w:type="auto"/>
            <w:vAlign w:val="center"/>
            <w:hideMark/>
          </w:tcPr>
          <w:p w14:paraId="56230F7D" w14:textId="77777777" w:rsidR="0082695A" w:rsidRPr="0082695A" w:rsidRDefault="0082695A" w:rsidP="0082695A">
            <w:pPr>
              <w:jc w:val="center"/>
              <w:rPr>
                <w:b/>
                <w:bCs/>
                <w:sz w:val="22"/>
                <w:szCs w:val="22"/>
              </w:rPr>
            </w:pPr>
            <w:r w:rsidRPr="0082695A">
              <w:rPr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1A160CF9" w14:textId="77777777" w:rsidR="0082695A" w:rsidRPr="0082695A" w:rsidRDefault="0082695A" w:rsidP="0082695A">
            <w:pPr>
              <w:jc w:val="center"/>
              <w:rPr>
                <w:b/>
                <w:bCs/>
                <w:sz w:val="22"/>
                <w:szCs w:val="22"/>
              </w:rPr>
            </w:pPr>
            <w:r w:rsidRPr="0082695A">
              <w:rPr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5AFC68C6" w14:textId="77777777" w:rsidR="0082695A" w:rsidRPr="0082695A" w:rsidRDefault="0082695A" w:rsidP="0082695A">
            <w:pPr>
              <w:jc w:val="center"/>
              <w:rPr>
                <w:b/>
                <w:bCs/>
                <w:sz w:val="22"/>
                <w:szCs w:val="22"/>
              </w:rPr>
            </w:pPr>
            <w:r w:rsidRPr="0082695A">
              <w:rPr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0" w:type="auto"/>
            <w:vAlign w:val="center"/>
            <w:hideMark/>
          </w:tcPr>
          <w:p w14:paraId="204C563D" w14:textId="77777777" w:rsidR="0082695A" w:rsidRPr="0082695A" w:rsidRDefault="0082695A" w:rsidP="0082695A">
            <w:pPr>
              <w:jc w:val="center"/>
              <w:rPr>
                <w:b/>
                <w:bCs/>
                <w:sz w:val="22"/>
                <w:szCs w:val="22"/>
              </w:rPr>
            </w:pPr>
            <w:r w:rsidRPr="0082695A">
              <w:rPr>
                <w:b/>
                <w:bCs/>
                <w:sz w:val="22"/>
                <w:szCs w:val="22"/>
              </w:rPr>
              <w:t>Consequências Contratuais</w:t>
            </w:r>
          </w:p>
        </w:tc>
        <w:tc>
          <w:tcPr>
            <w:tcW w:w="0" w:type="auto"/>
            <w:vAlign w:val="center"/>
            <w:hideMark/>
          </w:tcPr>
          <w:p w14:paraId="2B9521A0" w14:textId="77777777" w:rsidR="0082695A" w:rsidRPr="0082695A" w:rsidRDefault="0082695A" w:rsidP="0082695A">
            <w:pPr>
              <w:jc w:val="center"/>
              <w:rPr>
                <w:b/>
                <w:bCs/>
                <w:sz w:val="22"/>
                <w:szCs w:val="22"/>
              </w:rPr>
            </w:pPr>
            <w:r w:rsidRPr="0082695A">
              <w:rPr>
                <w:b/>
                <w:bCs/>
                <w:sz w:val="22"/>
                <w:szCs w:val="22"/>
              </w:rPr>
              <w:t>Medidas de Mitigação</w:t>
            </w:r>
          </w:p>
        </w:tc>
      </w:tr>
      <w:tr w:rsidR="0082695A" w:rsidRPr="0082695A" w14:paraId="1DC98797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7B0F5C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Atraso no início ou na execução dos serviços</w:t>
            </w:r>
          </w:p>
        </w:tc>
        <w:tc>
          <w:tcPr>
            <w:tcW w:w="0" w:type="auto"/>
            <w:vAlign w:val="center"/>
            <w:hideMark/>
          </w:tcPr>
          <w:p w14:paraId="3209203A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232628D0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09F881F1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1D9DADE1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Aplicação de penalidades contratuais e possibilidade de rescisão, conforme contrato</w:t>
            </w:r>
          </w:p>
        </w:tc>
        <w:tc>
          <w:tcPr>
            <w:tcW w:w="0" w:type="auto"/>
            <w:vAlign w:val="center"/>
            <w:hideMark/>
          </w:tcPr>
          <w:p w14:paraId="45245479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Cronograma físico-financeiro e fiscalização contínua</w:t>
            </w:r>
          </w:p>
        </w:tc>
      </w:tr>
      <w:tr w:rsidR="0082695A" w:rsidRPr="0082695A" w14:paraId="0A45DD39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637955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Condições climáticas adversas (chuvas intensas)</w:t>
            </w:r>
          </w:p>
        </w:tc>
        <w:tc>
          <w:tcPr>
            <w:tcW w:w="0" w:type="auto"/>
            <w:vAlign w:val="center"/>
            <w:hideMark/>
          </w:tcPr>
          <w:p w14:paraId="1E3284AD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1318AFAD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3518369F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Compartilhado</w:t>
            </w:r>
          </w:p>
        </w:tc>
        <w:tc>
          <w:tcPr>
            <w:tcW w:w="0" w:type="auto"/>
            <w:vAlign w:val="center"/>
            <w:hideMark/>
          </w:tcPr>
          <w:p w14:paraId="7CF44321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Possibilidade de prorrogação de prazo, sem ônus adicional</w:t>
            </w:r>
          </w:p>
        </w:tc>
        <w:tc>
          <w:tcPr>
            <w:tcW w:w="0" w:type="auto"/>
            <w:vAlign w:val="center"/>
            <w:hideMark/>
          </w:tcPr>
          <w:p w14:paraId="41C0533B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Planejamento conforme previsão climática</w:t>
            </w:r>
          </w:p>
        </w:tc>
      </w:tr>
      <w:tr w:rsidR="0082695A" w:rsidRPr="0082695A" w14:paraId="60B983F6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447E91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Interferências não identificadas em redes existentes</w:t>
            </w:r>
          </w:p>
        </w:tc>
        <w:tc>
          <w:tcPr>
            <w:tcW w:w="0" w:type="auto"/>
            <w:vAlign w:val="center"/>
            <w:hideMark/>
          </w:tcPr>
          <w:p w14:paraId="1FB8569F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7DDFD259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0E959034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Contratante</w:t>
            </w:r>
          </w:p>
        </w:tc>
        <w:tc>
          <w:tcPr>
            <w:tcW w:w="0" w:type="auto"/>
            <w:vAlign w:val="center"/>
            <w:hideMark/>
          </w:tcPr>
          <w:p w14:paraId="1AC9D5B6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Prorrogação de prazo e eventual reequilíbrio econômico-financeiro</w:t>
            </w:r>
          </w:p>
        </w:tc>
        <w:tc>
          <w:tcPr>
            <w:tcW w:w="0" w:type="auto"/>
            <w:vAlign w:val="center"/>
            <w:hideMark/>
          </w:tcPr>
          <w:p w14:paraId="4C187125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Levantamentos prévios e comunicação intersetorial</w:t>
            </w:r>
          </w:p>
        </w:tc>
      </w:tr>
      <w:tr w:rsidR="0082695A" w:rsidRPr="0082695A" w14:paraId="61E3EEE7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08674F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Variação ordinária de preços dos insumos</w:t>
            </w:r>
          </w:p>
        </w:tc>
        <w:tc>
          <w:tcPr>
            <w:tcW w:w="0" w:type="auto"/>
            <w:vAlign w:val="center"/>
            <w:hideMark/>
          </w:tcPr>
          <w:p w14:paraId="05700D9B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36C6A6DC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7DFC1E8F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4C2D4F95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Risco assumido pela contratada, sem direito a reequilíbrio</w:t>
            </w:r>
          </w:p>
        </w:tc>
        <w:tc>
          <w:tcPr>
            <w:tcW w:w="0" w:type="auto"/>
            <w:vAlign w:val="center"/>
            <w:hideMark/>
          </w:tcPr>
          <w:p w14:paraId="0152D5E2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Planejamento de compras e gestão de contratos</w:t>
            </w:r>
          </w:p>
        </w:tc>
      </w:tr>
      <w:tr w:rsidR="0082695A" w:rsidRPr="0082695A" w14:paraId="17D8CA02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510FC8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Execução em desacordo com especificações técnicas</w:t>
            </w:r>
          </w:p>
        </w:tc>
        <w:tc>
          <w:tcPr>
            <w:tcW w:w="0" w:type="auto"/>
            <w:vAlign w:val="center"/>
            <w:hideMark/>
          </w:tcPr>
          <w:p w14:paraId="40D70DE6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153D0AC6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1D3041A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77513FCB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Obrigação de refazer os serviços sem ônus e aplicação de sanções</w:t>
            </w:r>
          </w:p>
        </w:tc>
        <w:tc>
          <w:tcPr>
            <w:tcW w:w="0" w:type="auto"/>
            <w:vAlign w:val="center"/>
            <w:hideMark/>
          </w:tcPr>
          <w:p w14:paraId="03095399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Fiscalização técnica rigorosa</w:t>
            </w:r>
          </w:p>
        </w:tc>
      </w:tr>
      <w:tr w:rsidR="0082695A" w:rsidRPr="0082695A" w14:paraId="2270B2A8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CA75C2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Acidentes de trabalho</w:t>
            </w:r>
          </w:p>
        </w:tc>
        <w:tc>
          <w:tcPr>
            <w:tcW w:w="0" w:type="auto"/>
            <w:vAlign w:val="center"/>
            <w:hideMark/>
          </w:tcPr>
          <w:p w14:paraId="5C148BCF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1B44799D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CFA47B7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189DFC7E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Responsabilização integral e aplicação de penalidades cabíveis</w:t>
            </w:r>
          </w:p>
        </w:tc>
        <w:tc>
          <w:tcPr>
            <w:tcW w:w="0" w:type="auto"/>
            <w:vAlign w:val="center"/>
            <w:hideMark/>
          </w:tcPr>
          <w:p w14:paraId="7FEC2C69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Cumprimento das normas de segurança</w:t>
            </w:r>
          </w:p>
        </w:tc>
      </w:tr>
      <w:tr w:rsidR="0082695A" w:rsidRPr="0082695A" w14:paraId="16002DDC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8289E8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lastRenderedPageBreak/>
              <w:t>Interferência excessiva no tráfego urbano</w:t>
            </w:r>
          </w:p>
        </w:tc>
        <w:tc>
          <w:tcPr>
            <w:tcW w:w="0" w:type="auto"/>
            <w:vAlign w:val="center"/>
            <w:hideMark/>
          </w:tcPr>
          <w:p w14:paraId="22F16FEF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235FF7D2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33B2FE85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74DAF5E0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Advertência ou penalidades, conforme gravidade</w:t>
            </w:r>
          </w:p>
        </w:tc>
        <w:tc>
          <w:tcPr>
            <w:tcW w:w="0" w:type="auto"/>
            <w:vAlign w:val="center"/>
            <w:hideMark/>
          </w:tcPr>
          <w:p w14:paraId="0F17901C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Execução por trechos e sinalização adequada</w:t>
            </w:r>
          </w:p>
        </w:tc>
      </w:tr>
      <w:tr w:rsidR="0082695A" w:rsidRPr="0082695A" w14:paraId="23248E06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EC006E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Destinação inadequada de resíduos</w:t>
            </w:r>
          </w:p>
        </w:tc>
        <w:tc>
          <w:tcPr>
            <w:tcW w:w="0" w:type="auto"/>
            <w:vAlign w:val="center"/>
            <w:hideMark/>
          </w:tcPr>
          <w:p w14:paraId="3BD93595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16E962C2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127E66D9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163C596B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Aplicação de sanções administrativas e ambientais</w:t>
            </w:r>
          </w:p>
        </w:tc>
        <w:tc>
          <w:tcPr>
            <w:tcW w:w="0" w:type="auto"/>
            <w:vAlign w:val="center"/>
            <w:hideMark/>
          </w:tcPr>
          <w:p w14:paraId="243F1565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Adoção de boas práticas ambientais</w:t>
            </w:r>
          </w:p>
        </w:tc>
      </w:tr>
      <w:tr w:rsidR="0082695A" w:rsidRPr="0082695A" w14:paraId="52DCFF20" w14:textId="77777777" w:rsidTr="008269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C79E52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Paralisação da obra por inadimplemento contratual</w:t>
            </w:r>
          </w:p>
        </w:tc>
        <w:tc>
          <w:tcPr>
            <w:tcW w:w="0" w:type="auto"/>
            <w:vAlign w:val="center"/>
            <w:hideMark/>
          </w:tcPr>
          <w:p w14:paraId="1111AC53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6E0C9B6E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4B3BC66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2E4F958F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Rescisão contratual e aplicação de sanções</w:t>
            </w:r>
          </w:p>
        </w:tc>
        <w:tc>
          <w:tcPr>
            <w:tcW w:w="0" w:type="auto"/>
            <w:vAlign w:val="center"/>
            <w:hideMark/>
          </w:tcPr>
          <w:p w14:paraId="3E295635" w14:textId="77777777" w:rsidR="0082695A" w:rsidRPr="0082695A" w:rsidRDefault="0082695A" w:rsidP="0082695A">
            <w:pPr>
              <w:jc w:val="center"/>
              <w:rPr>
                <w:sz w:val="22"/>
                <w:szCs w:val="22"/>
              </w:rPr>
            </w:pPr>
            <w:r w:rsidRPr="0082695A">
              <w:rPr>
                <w:sz w:val="22"/>
                <w:szCs w:val="22"/>
              </w:rPr>
              <w:t>Gestão contratual ativa</w:t>
            </w:r>
          </w:p>
        </w:tc>
      </w:tr>
    </w:tbl>
    <w:p w14:paraId="1A43CF46" w14:textId="77777777" w:rsidR="00F96386" w:rsidRDefault="00F96386" w:rsidP="00F63101">
      <w:pPr>
        <w:ind w:firstLine="708"/>
        <w:jc w:val="both"/>
        <w:rPr>
          <w:sz w:val="22"/>
          <w:szCs w:val="22"/>
        </w:rPr>
      </w:pPr>
    </w:p>
    <w:p w14:paraId="3673651B" w14:textId="77777777" w:rsidR="009C6F15" w:rsidRDefault="009C6F15" w:rsidP="009C6F15">
      <w:pPr>
        <w:ind w:firstLine="708"/>
        <w:jc w:val="both"/>
        <w:rPr>
          <w:b/>
          <w:bCs/>
          <w:sz w:val="22"/>
          <w:szCs w:val="22"/>
        </w:rPr>
      </w:pPr>
      <w:r w:rsidRPr="009C6F15">
        <w:rPr>
          <w:b/>
          <w:bCs/>
          <w:sz w:val="22"/>
          <w:szCs w:val="22"/>
        </w:rPr>
        <w:t>Considerações Finais sobre a Matriz de Riscos</w:t>
      </w:r>
    </w:p>
    <w:p w14:paraId="03FA8AE3" w14:textId="77777777" w:rsidR="009C6F15" w:rsidRDefault="009C6F15" w:rsidP="009C6F15">
      <w:pPr>
        <w:ind w:firstLine="708"/>
        <w:jc w:val="both"/>
        <w:rPr>
          <w:sz w:val="22"/>
          <w:szCs w:val="22"/>
        </w:rPr>
      </w:pPr>
      <w:r w:rsidRPr="009C6F15">
        <w:rPr>
          <w:sz w:val="22"/>
          <w:szCs w:val="22"/>
        </w:rPr>
        <w:t xml:space="preserve">Os riscos identificados são compatíveis com a natureza do objeto e considerados </w:t>
      </w:r>
      <w:r w:rsidRPr="009C6F15">
        <w:rPr>
          <w:b/>
          <w:bCs/>
          <w:sz w:val="22"/>
          <w:szCs w:val="22"/>
        </w:rPr>
        <w:t>gerenciáveis</w:t>
      </w:r>
      <w:r w:rsidRPr="009C6F15">
        <w:rPr>
          <w:sz w:val="22"/>
          <w:szCs w:val="22"/>
        </w:rPr>
        <w:t>, desde que adotadas as medidas preventivas e mitigadoras previstas, bem como mantida fiscalização técnica adequada durante toda a execução contratual.</w:t>
      </w:r>
    </w:p>
    <w:p w14:paraId="3DAEE448" w14:textId="77777777" w:rsidR="005140AF" w:rsidRDefault="005140AF" w:rsidP="009C6F15">
      <w:pPr>
        <w:ind w:firstLine="708"/>
        <w:jc w:val="both"/>
        <w:rPr>
          <w:sz w:val="22"/>
          <w:szCs w:val="22"/>
        </w:rPr>
      </w:pPr>
    </w:p>
    <w:p w14:paraId="59A2015D" w14:textId="77777777" w:rsidR="005140AF" w:rsidRDefault="005140AF" w:rsidP="009C6F15">
      <w:pPr>
        <w:ind w:firstLine="708"/>
        <w:jc w:val="both"/>
        <w:rPr>
          <w:sz w:val="22"/>
          <w:szCs w:val="22"/>
        </w:rPr>
      </w:pPr>
    </w:p>
    <w:p w14:paraId="371B2C3F" w14:textId="77777777" w:rsidR="005140AF" w:rsidRDefault="005140AF" w:rsidP="009C6F15">
      <w:pPr>
        <w:ind w:firstLine="708"/>
        <w:jc w:val="both"/>
        <w:rPr>
          <w:sz w:val="22"/>
          <w:szCs w:val="22"/>
        </w:rPr>
      </w:pPr>
    </w:p>
    <w:p w14:paraId="287D3019" w14:textId="77777777" w:rsidR="005140AF" w:rsidRPr="009C6F15" w:rsidRDefault="005140AF" w:rsidP="005140AF">
      <w:pPr>
        <w:spacing w:line="240" w:lineRule="auto"/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LYGIA FERNANDA LUCIER</w:t>
      </w:r>
      <w:r>
        <w:rPr>
          <w:sz w:val="22"/>
          <w:szCs w:val="22"/>
        </w:rPr>
        <w:br/>
        <w:t xml:space="preserve">               Engenheira Civil</w:t>
      </w:r>
      <w:r>
        <w:rPr>
          <w:sz w:val="22"/>
          <w:szCs w:val="22"/>
        </w:rPr>
        <w:br/>
        <w:t xml:space="preserve">                CREA-PR 175306/D</w:t>
      </w:r>
    </w:p>
    <w:sectPr w:rsidR="005140AF" w:rsidRPr="009C6F15" w:rsidSect="00886C5A">
      <w:headerReference w:type="default" r:id="rId6"/>
      <w:footerReference w:type="default" r:id="rId7"/>
      <w:pgSz w:w="16838" w:h="11906" w:orient="landscape"/>
      <w:pgMar w:top="2381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6F38D" w14:textId="77777777" w:rsidR="00AB03F0" w:rsidRDefault="00AB03F0" w:rsidP="00886C5A">
      <w:pPr>
        <w:spacing w:after="0" w:line="240" w:lineRule="auto"/>
      </w:pPr>
      <w:r>
        <w:separator/>
      </w:r>
    </w:p>
  </w:endnote>
  <w:endnote w:type="continuationSeparator" w:id="0">
    <w:p w14:paraId="5FF02A2F" w14:textId="77777777" w:rsidR="00AB03F0" w:rsidRDefault="00AB03F0" w:rsidP="00886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53F3" w14:textId="388FB875" w:rsidR="00886C5A" w:rsidRDefault="00886C5A" w:rsidP="00886C5A">
    <w:pPr>
      <w:pStyle w:val="Rodap"/>
      <w:ind w:left="-1276"/>
    </w:pPr>
    <w:r>
      <w:rPr>
        <w:noProof/>
      </w:rPr>
      <w:drawing>
        <wp:inline distT="0" distB="0" distL="0" distR="0" wp14:anchorId="5F75C422" wp14:editId="3DBB98DD">
          <wp:extent cx="9544050" cy="1207135"/>
          <wp:effectExtent l="0" t="0" r="0" b="0"/>
          <wp:docPr id="10472128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0" cy="1207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57DC6" w14:textId="77777777" w:rsidR="00AB03F0" w:rsidRDefault="00AB03F0" w:rsidP="00886C5A">
      <w:pPr>
        <w:spacing w:after="0" w:line="240" w:lineRule="auto"/>
      </w:pPr>
      <w:r>
        <w:separator/>
      </w:r>
    </w:p>
  </w:footnote>
  <w:footnote w:type="continuationSeparator" w:id="0">
    <w:p w14:paraId="3A9C1F24" w14:textId="77777777" w:rsidR="00AB03F0" w:rsidRDefault="00AB03F0" w:rsidP="00886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E338" w14:textId="152B56B9" w:rsidR="00886C5A" w:rsidRDefault="00886C5A" w:rsidP="00886C5A">
    <w:pPr>
      <w:pStyle w:val="Cabealho"/>
      <w:ind w:left="-851"/>
    </w:pPr>
    <w:r>
      <w:rPr>
        <w:noProof/>
      </w:rPr>
      <w:drawing>
        <wp:inline distT="0" distB="0" distL="0" distR="0" wp14:anchorId="1F627E14" wp14:editId="2F540F92">
          <wp:extent cx="10306050" cy="1584960"/>
          <wp:effectExtent l="0" t="0" r="0" b="0"/>
          <wp:docPr id="161122421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06050" cy="1584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01"/>
    <w:rsid w:val="005140AF"/>
    <w:rsid w:val="007914A1"/>
    <w:rsid w:val="007B301E"/>
    <w:rsid w:val="0082695A"/>
    <w:rsid w:val="00886C5A"/>
    <w:rsid w:val="008A6D84"/>
    <w:rsid w:val="0090382B"/>
    <w:rsid w:val="009C6F15"/>
    <w:rsid w:val="00A1134A"/>
    <w:rsid w:val="00AB03F0"/>
    <w:rsid w:val="00B73D58"/>
    <w:rsid w:val="00CC55E7"/>
    <w:rsid w:val="00F63101"/>
    <w:rsid w:val="00F9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BE57E"/>
  <w15:chartTrackingRefBased/>
  <w15:docId w15:val="{1F56316A-DF82-43EF-948D-DDE267C5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63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63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63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63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63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631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631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631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631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631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63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63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6310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6310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631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6310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631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631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631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63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63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63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63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6310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6310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6310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63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6310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63101"/>
    <w:rPr>
      <w:b/>
      <w:bCs/>
      <w:smallCaps/>
      <w:color w:val="2F5496" w:themeColor="accent1" w:themeShade="BF"/>
      <w:spacing w:val="5"/>
    </w:rPr>
  </w:style>
  <w:style w:type="character" w:styleId="Refdecomentrio">
    <w:name w:val="annotation reference"/>
    <w:basedOn w:val="Fontepargpadro"/>
    <w:uiPriority w:val="99"/>
    <w:semiHidden/>
    <w:unhideWhenUsed/>
    <w:rsid w:val="0082695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2695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2695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2695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2695A"/>
    <w:rPr>
      <w:b/>
      <w:bCs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886C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86C5A"/>
  </w:style>
  <w:style w:type="paragraph" w:styleId="Rodap">
    <w:name w:val="footer"/>
    <w:basedOn w:val="Normal"/>
    <w:link w:val="RodapChar"/>
    <w:uiPriority w:val="99"/>
    <w:unhideWhenUsed/>
    <w:rsid w:val="00886C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6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ENGENHARIA</dc:creator>
  <cp:keywords/>
  <dc:description/>
  <cp:lastModifiedBy>Engenharia</cp:lastModifiedBy>
  <cp:revision>4</cp:revision>
  <dcterms:created xsi:type="dcterms:W3CDTF">2026-01-20T13:28:00Z</dcterms:created>
  <dcterms:modified xsi:type="dcterms:W3CDTF">2026-01-20T13:48:00Z</dcterms:modified>
</cp:coreProperties>
</file>